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《关于开展柳州市人才分类认定的通知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（试行）》政策解读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为深入贯彻落实《柳州市进一步加强新时代人才集聚更大力度推动产业高质量发展的若干措施》（柳发〔2022〕7号，以下简称《若干措施》），做好人才分类认定工作，现对</w:t>
      </w:r>
      <w:r>
        <w:rPr>
          <w:rFonts w:hint="eastAsia" w:ascii="Times New Roman" w:hAnsi="Times New Roman" w:eastAsia="仿宋_GB2312" w:cs="仿宋_GB2312"/>
          <w:sz w:val="32"/>
          <w:szCs w:val="32"/>
        </w:rPr>
        <w:t>《关于开展柳州市人才分类认定的通知（试行）》</w:t>
      </w:r>
      <w:r>
        <w:rPr>
          <w:rFonts w:hint="eastAsia" w:ascii="Times New Roman" w:hAnsi="Times New Roman" w:eastAsia="仿宋_GB2312" w:cs="仿宋_GB2312"/>
          <w:sz w:val="32"/>
          <w:szCs w:val="32"/>
          <w:lang w:eastAsia="zh-CN"/>
        </w:rPr>
        <w:t>（以下简称《通知》）的有关规定解释如下：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一、《通知》的认定对象有哪些？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根据《通知》规定，人才认定的对象有：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highlight w:val="none"/>
          <w:lang w:val="en-US" w:eastAsia="zh-CN"/>
        </w:rPr>
        <w:t>（一）</w:t>
      </w:r>
      <w:r>
        <w:rPr>
          <w:rFonts w:hint="eastAsia" w:ascii="Times New Roman" w:hAnsi="Times New Roman" w:eastAsia="仿宋_GB2312" w:cs="仿宋_GB2312"/>
          <w:color w:val="auto"/>
          <w:sz w:val="32"/>
          <w:szCs w:val="32"/>
          <w:u w:val="none"/>
          <w:lang w:val="en-US" w:eastAsia="zh-CN"/>
        </w:rPr>
        <w:t>全职引进到柳州</w:t>
      </w:r>
      <w:r>
        <w:rPr>
          <w:rFonts w:hint="eastAsia" w:ascii="Times New Roman" w:hAnsi="Times New Roman" w:eastAsia="仿宋_GB2312" w:cs="仿宋_GB2312"/>
          <w:color w:val="auto"/>
          <w:spacing w:val="4"/>
          <w:kern w:val="0"/>
          <w:sz w:val="32"/>
          <w:szCs w:val="32"/>
        </w:rPr>
        <w:t>市本级、五城区及柳东新区、阳和工业新区（北部生态新区）的企事业单位（不含参照公务员法管理的事业单位）</w:t>
      </w:r>
      <w:r>
        <w:rPr>
          <w:rFonts w:hint="eastAsia" w:ascii="Times New Roman" w:hAnsi="Times New Roman" w:eastAsia="仿宋_GB2312" w:cs="仿宋_GB2312"/>
          <w:color w:val="auto"/>
          <w:sz w:val="32"/>
          <w:szCs w:val="32"/>
          <w:u w:val="none"/>
          <w:lang w:val="en-US" w:eastAsia="zh-CN"/>
        </w:rPr>
        <w:t>工作并在柳参加社会保险的人才；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（二）全职引进到广西科技大学、</w:t>
      </w:r>
      <w:r>
        <w:rPr>
          <w:rFonts w:hint="eastAsia" w:ascii="Times New Roman" w:hAnsi="Times New Roman" w:eastAsia="仿宋_GB2312" w:cs="仿宋_GB2312"/>
          <w:color w:val="auto"/>
          <w:sz w:val="32"/>
        </w:rPr>
        <w:t>上汽通用五菱公司</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color w:val="auto"/>
          <w:sz w:val="32"/>
          <w:szCs w:val="32"/>
          <w:u w:val="none"/>
          <w:lang w:val="en-US" w:eastAsia="zh-CN"/>
        </w:rPr>
        <w:t>柳工集团、柳钢集团、东风柳汽、广西汽车集团、鱼峰集团，以及上述单位在柳登记注册和参加社会保险的下属子公司工作并在柳参加社会保险的人才；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（三）全职引进到我市创业就业并符合C类及以上认定标准的高端人才，可免除在柳参保要求参加认定。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二、可以认定的人才类别有哪些？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eastAsia="zh-CN"/>
        </w:rPr>
        <w:t>（一）</w:t>
      </w:r>
      <w:r>
        <w:rPr>
          <w:rFonts w:hint="eastAsia" w:ascii="Times New Roman" w:hAnsi="Times New Roman" w:eastAsia="仿宋_GB2312" w:cs="仿宋_GB2312"/>
          <w:color w:val="auto"/>
          <w:sz w:val="32"/>
          <w:szCs w:val="32"/>
          <w:u w:val="none"/>
        </w:rPr>
        <w:t>根据</w:t>
      </w:r>
      <w:r>
        <w:rPr>
          <w:rFonts w:hint="eastAsia" w:ascii="Times New Roman" w:hAnsi="Times New Roman" w:eastAsia="仿宋_GB2312" w:cs="仿宋_GB2312"/>
          <w:color w:val="auto"/>
          <w:sz w:val="32"/>
          <w:szCs w:val="32"/>
          <w:highlight w:val="none"/>
          <w:u w:val="none"/>
        </w:rPr>
        <w:t>《若干措施》</w:t>
      </w:r>
      <w:r>
        <w:rPr>
          <w:rFonts w:hint="eastAsia" w:ascii="Times New Roman" w:hAnsi="Times New Roman" w:eastAsia="仿宋_GB2312" w:cs="仿宋_GB2312"/>
          <w:color w:val="auto"/>
          <w:sz w:val="32"/>
          <w:szCs w:val="32"/>
          <w:highlight w:val="none"/>
          <w:u w:val="none"/>
          <w:lang w:eastAsia="zh-CN"/>
        </w:rPr>
        <w:t>的</w:t>
      </w:r>
      <w:r>
        <w:rPr>
          <w:rFonts w:hint="eastAsia" w:ascii="Times New Roman" w:hAnsi="Times New Roman" w:eastAsia="仿宋_GB2312" w:cs="仿宋_GB2312"/>
          <w:color w:val="auto"/>
          <w:sz w:val="32"/>
          <w:szCs w:val="32"/>
          <w:u w:val="none"/>
        </w:rPr>
        <w:t>《人才分类标准》</w:t>
      </w:r>
      <w:r>
        <w:rPr>
          <w:rFonts w:hint="eastAsia" w:ascii="Times New Roman" w:hAnsi="Times New Roman" w:eastAsia="仿宋_GB2312" w:cs="仿宋_GB2312"/>
          <w:color w:val="auto"/>
          <w:sz w:val="32"/>
          <w:szCs w:val="32"/>
          <w:u w:val="none"/>
          <w:lang w:val="en-US" w:eastAsia="zh-CN"/>
        </w:rPr>
        <w:t>认定为A-G类人才</w:t>
      </w:r>
      <w:r>
        <w:rPr>
          <w:rFonts w:hint="eastAsia" w:ascii="Times New Roman" w:hAnsi="Times New Roman" w:eastAsia="仿宋_GB2312" w:cs="仿宋_GB2312"/>
          <w:color w:val="auto"/>
          <w:sz w:val="32"/>
          <w:szCs w:val="32"/>
          <w:u w:val="none"/>
        </w:rPr>
        <w:t>。</w:t>
      </w:r>
      <w:r>
        <w:rPr>
          <w:rFonts w:hint="eastAsia" w:ascii="Times New Roman" w:hAnsi="Times New Roman" w:eastAsia="仿宋_GB2312"/>
          <w:color w:val="auto"/>
          <w:spacing w:val="4"/>
          <w:kern w:val="0"/>
          <w:sz w:val="32"/>
          <w:szCs w:val="32"/>
        </w:rPr>
        <w:t>各行业主管部门可参考《若干措施》的《人才分类标准》，结合本行业领域工作实际，自主完善</w:t>
      </w:r>
      <w:r>
        <w:rPr>
          <w:rFonts w:hint="eastAsia" w:ascii="Times New Roman" w:hAnsi="Times New Roman" w:eastAsia="仿宋_GB2312" w:cs="仿宋_GB2312"/>
          <w:color w:val="auto"/>
          <w:spacing w:val="4"/>
          <w:kern w:val="0"/>
          <w:sz w:val="32"/>
          <w:szCs w:val="32"/>
        </w:rPr>
        <w:t>相当于A至E类</w:t>
      </w:r>
      <w:r>
        <w:rPr>
          <w:rFonts w:hint="eastAsia" w:ascii="Times New Roman" w:hAnsi="Times New Roman" w:eastAsia="仿宋_GB2312"/>
          <w:color w:val="auto"/>
          <w:spacing w:val="4"/>
          <w:kern w:val="0"/>
          <w:sz w:val="32"/>
          <w:szCs w:val="32"/>
        </w:rPr>
        <w:t>人才分类标准，报备市委人才工作领导小组审定后实施。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（二）</w:t>
      </w:r>
      <w:r>
        <w:rPr>
          <w:rFonts w:hint="eastAsia" w:ascii="Times New Roman" w:hAnsi="Times New Roman" w:eastAsia="仿宋_GB2312" w:cs="仿宋_GB2312"/>
          <w:color w:val="auto"/>
          <w:sz w:val="32"/>
          <w:szCs w:val="32"/>
          <w:u w:val="none"/>
          <w:lang w:val="en-US" w:eastAsia="zh-CN"/>
        </w:rPr>
        <w:t>入选《柳州市“5+5”产业领域重点企业目录》（以下简称《目录》）的企业，在《目录》有效期内可不受《人才分类标准》的条件限制自主评选不超过3名高层次人才。自主评选的高层次人才经柳州市人力资源和社会保障局会同相关部门审定后等同柳州市人才认定类别享受人才政策待遇。自主评选通过认定的高层次人才仅在评选单位使用，如变更工作单位则失去高层次人才身份，不再享受相关人才政策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u w:val="none"/>
          <w:lang w:val="en-US" w:eastAsia="zh-CN"/>
        </w:rPr>
        <w:t>（三）对于行业内业绩成果突出，但不能参照《人才分类标准》直接认定的高层次人才，可采取同行推荐、评审认定和“一事一议”等方式申请认定。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三、人才认定有什么条件？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申请认定的人才应具备《若干措施》的《人才分类标准》规定的相应人才类别的标准和以下基本条件：</w:t>
      </w:r>
    </w:p>
    <w:p>
      <w:pPr>
        <w:pStyle w:val="2"/>
        <w:keepNext w:val="0"/>
        <w:keepLines w:val="0"/>
        <w:pageBreakBefore w:val="0"/>
        <w:kinsoku/>
        <w:wordWrap/>
        <w:overflowPunct/>
        <w:topLinePunct w:val="0"/>
        <w:bidi w:val="0"/>
        <w:adjustRightInd w:val="0"/>
        <w:snapToGrid w:val="0"/>
        <w:spacing w:line="540" w:lineRule="exact"/>
        <w:ind w:left="0" w:leftChars="0" w:right="0" w:right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（一）政治立场坚定，热爱祖国，热爱人民，遵纪守法，有强烈的事业心、责任感和奉献精神以及良好的职业道德；</w:t>
      </w:r>
    </w:p>
    <w:p>
      <w:pPr>
        <w:pStyle w:val="2"/>
        <w:keepNext w:val="0"/>
        <w:keepLines w:val="0"/>
        <w:pageBreakBefore w:val="0"/>
        <w:kinsoku/>
        <w:wordWrap/>
        <w:overflowPunct/>
        <w:topLinePunct w:val="0"/>
        <w:bidi w:val="0"/>
        <w:adjustRightInd w:val="0"/>
        <w:snapToGrid w:val="0"/>
        <w:spacing w:line="540" w:lineRule="exact"/>
        <w:ind w:left="0" w:leftChars="0" w:right="0" w:rightChars="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（二）有较好的身体素质，能坚持创新创业创造工作；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u w:val="none"/>
          <w:lang w:val="en-US" w:eastAsia="zh-CN"/>
        </w:rPr>
        <w:t>（三）E类及以上人才引进时应不超过55周岁（来柳创业的C类及以上人才，特别优秀的可适当放宽条件），F类及以下人才引进时应不超过50周岁。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四、人才认定程序是什么？如何办理？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人才分类认定采取线上办理的方式进行，申请人需事先在手机上安装“龙城市民云APP”，注册并实名认证后登录智慧人才服务平台办理。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申请人在智慧人才服务平台上提出申请，经用人单位初审并公示后报主管部门（城区）审核；主管部门（城区）审核通过后提交至市人才中心，市人才中心根据认定类别区分办理：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（一）F类及以下的根据审核部门的审核结果，市人才中心备案、根据审核结果予以公示。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（二）E类和D类的由市人力资源社会保障局组织评审后，市人才中心根据评审结果予以公示。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lang w:val="en-US" w:eastAsia="zh-CN"/>
        </w:rPr>
      </w:pPr>
      <w:r>
        <w:rPr>
          <w:rFonts w:hint="eastAsia" w:ascii="Times New Roman" w:hAnsi="Times New Roman" w:eastAsia="仿宋_GB2312" w:cs="仿宋_GB2312"/>
          <w:color w:val="auto"/>
          <w:sz w:val="32"/>
          <w:szCs w:val="32"/>
          <w:u w:val="none"/>
          <w:lang w:val="en-US" w:eastAsia="zh-CN"/>
        </w:rPr>
        <w:t>（三）</w:t>
      </w:r>
      <w:bookmarkStart w:id="0" w:name="_GoBack"/>
      <w:bookmarkEnd w:id="0"/>
      <w:r>
        <w:rPr>
          <w:rFonts w:hint="eastAsia" w:ascii="Times New Roman" w:hAnsi="Times New Roman" w:eastAsia="仿宋_GB2312" w:cs="仿宋_GB2312"/>
          <w:color w:val="auto"/>
          <w:sz w:val="32"/>
          <w:szCs w:val="32"/>
          <w:u w:val="none"/>
          <w:lang w:val="en-US" w:eastAsia="zh-CN"/>
        </w:rPr>
        <w:t>C类及以上的由市人力资源社会保障局组织评审后，将评审结果提交至</w:t>
      </w:r>
      <w:r>
        <w:rPr>
          <w:rFonts w:hint="eastAsia" w:ascii="Times New Roman" w:hAnsi="Times New Roman" w:eastAsia="仿宋_GB2312" w:cs="仿宋_GB2312"/>
          <w:color w:val="auto"/>
          <w:sz w:val="32"/>
          <w:szCs w:val="32"/>
          <w:highlight w:val="none"/>
          <w:u w:val="none"/>
          <w:lang w:val="en-US" w:eastAsia="zh-CN"/>
        </w:rPr>
        <w:t>市委人才工作领导小组办公室审定</w:t>
      </w:r>
      <w:r>
        <w:rPr>
          <w:rFonts w:hint="eastAsia" w:ascii="Times New Roman" w:hAnsi="Times New Roman" w:eastAsia="仿宋_GB2312" w:cs="仿宋_GB2312"/>
          <w:color w:val="auto"/>
          <w:sz w:val="32"/>
          <w:szCs w:val="32"/>
          <w:u w:val="none"/>
          <w:lang w:val="en-US" w:eastAsia="zh-CN"/>
        </w:rPr>
        <w:t>，审定后由市人才中心予以公示。</w:t>
      </w:r>
    </w:p>
    <w:p>
      <w:pPr>
        <w:pStyle w:val="2"/>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u w:val="none"/>
          <w:lang w:val="en-US" w:eastAsia="zh-CN"/>
        </w:rPr>
        <w:t>公示无异议的，予以认定。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五、申请人才认定需要提交什么材料？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（一）申请人的有效身份证件，如身份证、护照（外籍人才提供）或通行证（港澳台户籍人才提供）。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二）申请人毕业证、学位证、教育部学历证书电子注册备案表。最高学位（学历）证书在国外获得的外籍人才，其学位（学历）应经我驻外使、领馆或由申请人获得学位（学历）所在国驻华使、领馆或我国学历认证机构认证。</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（三）具备相应人才类别资格条件的依据材料，如任职证明、职称证书、荣誉证书或批文、立项文件等。</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（四）留学回国人员需提供教育部留学服务中心的《国外学历学位认证书》。</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（五）首次办理人才认定的用人单位，需在自治区一体化平台注册并提交企业营业执照副本（企业提供）或统一社会信用代码证书（事业单位提供）。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六、人才认定有在柳参保时长要求吗？什么时间可以办理人才认定？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u w:val="none"/>
          <w:lang w:val="en-US" w:eastAsia="zh-CN"/>
        </w:rPr>
        <w:t>人才引进到柳州的单位并在柳参加社会保险即可向单位提出人才认定申请，没有参保时长要求。人才分类认定常年受理，按月审批。用人单位每月10日前提交的认定申请，各审核部门应于当月20日前提交至市人才中心；用人单位每月10日以后提交的认定申请，顺延至次月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七、人才认定成功后就一定可以享受人才奖补吗？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不一定。人才认定是享受部分人才奖补的前提条件，但不代表认定成功后一定享受人才奖补。不同类型的人才奖补项目有不同的享受条件，人才认定完成后，还需满足具体的人才奖补项目的条件才可以享受相应的人才奖补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八、如何理解“人才在完成人才类别认定后再取得更高的学历、职称、荣誉成果等，符合更高一级的人才分类标准，可进行重新认定。重新认定的人才，奖励补贴仍按首次引进柳州时所具备的条件享受”？如果引进时不办理人才认定，等到取得更高的学历、职称、荣誉成果等，符合更高一级的人才分类标准之后再办理人才认定，是否可以按更高一级的人才类别享受人才奖励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即符合人才奖励补贴条件的人才，应在引进到柳州后及时按引进时具备的条件进行人才认定，才能办理人才奖励补贴。如果在引进后取得了更高的学历、职称、荣誉成果等，符合更高一级的人才分类标准，可以申请重新认定为更高一级的人才，但奖励补贴仍按首次引进柳州时所具备的条件享受。如果符合人才奖励补贴条件的人才引进至柳州后一直未办理人才认定，并在引进之后取得了更高的学历、职称、荣誉成果等，符合更高一级的人才分类标准，应先按引进时具备的条件完成人才认定再申请人才奖励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b w:val="0"/>
          <w:bCs w:val="0"/>
          <w:color w:val="auto"/>
          <w:sz w:val="32"/>
          <w:szCs w:val="32"/>
          <w:highlight w:val="none"/>
          <w:lang w:val="en-US" w:eastAsia="zh-CN"/>
        </w:rPr>
      </w:pPr>
      <w:r>
        <w:rPr>
          <w:rFonts w:hint="eastAsia" w:ascii="方正黑体_GBK" w:hAnsi="方正黑体_GBK" w:eastAsia="方正黑体_GBK" w:cs="方正黑体_GBK"/>
          <w:b w:val="0"/>
          <w:bCs w:val="0"/>
          <w:color w:val="auto"/>
          <w:sz w:val="32"/>
          <w:szCs w:val="32"/>
          <w:highlight w:val="none"/>
          <w:lang w:val="en-US" w:eastAsia="zh-CN"/>
        </w:rPr>
        <w:t>九、《通知》提到的《人才分类标准》中，“国内“双一流”建设高校及建设学科”的硕士和本科分别可以认定为F类和G类人才，是参照哪一个“双一流”名单？所学专业属于一流建设学科下面的分支专业，但专业名称与一流建设学科名称不完全一致，是否可以按一流建设学科进行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国内“双一流”建设高校及建设学科”以教育部、财政部和国家发展改革委2022年2月公布的《第二轮“双一流”建设高校及建设学科名单》为准，同时满足该名单中的“一流建设高校”和“一流建设学科”两个条件的硕士和本科人才，分别可认定为F类和G类人才。如所学专业名称与名单中的一流建设学科名称不完全一致，但属于该学科下面的分支专业，可以按一流建设学科进行认定，以学科代码和专业代码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fci wne:fciName="FontColorPicker"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83B79"/>
    <w:rsid w:val="360F72CE"/>
    <w:rsid w:val="5E5F48C8"/>
    <w:rsid w:val="608F44FA"/>
    <w:rsid w:val="767FC7FE"/>
    <w:rsid w:val="7D762003"/>
    <w:rsid w:val="7E223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cs="宋体"/>
      <w:szCs w:val="28"/>
    </w:rPr>
  </w:style>
  <w:style w:type="paragraph" w:styleId="3">
    <w:name w:val="Body Text"/>
    <w:basedOn w:val="1"/>
    <w:qFormat/>
    <w:uiPriority w:val="0"/>
    <w:pPr>
      <w:spacing w:line="660" w:lineRule="exact"/>
      <w:jc w:val="center"/>
    </w:pPr>
    <w:rPr>
      <w:rFonts w:ascii="方正小标宋_GBK" w:hAnsi="黑体" w:eastAsia="方正小标宋_GBK"/>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2020-05-23T00:31:00Z</dcterms:created>
  <dc:creator>Administrator</dc:creator>
  <cp:lastModifiedBy>唐娟红</cp:lastModifiedBy>
  <dcterms:modified xsi:type="dcterms:W3CDTF">2022-12-22T11:36:48Z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